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0" w:before="0"/>
      </w:pPr>
      <w:r>
        <w:rPr>
          <w:rFonts w:ascii="Arial" w:cs="Arial" w:eastAsia="Arial" w:hAnsi="Arial"/>
          <w:b/>
          <w:bCs/>
          <w:color w:val="F15B37"/>
          <w:sz w:val="16"/>
          <w:szCs w:val="16"/>
        </w:rPr>
        <w:t xml:space="preserve">ONE-PAGE BUSINESS CASE</w:t>
      </w:r>
    </w:p>
    <w:p>
      <w:pPr>
        <w:spacing w:after="60" w:before="0"/>
      </w:pPr>
      <w:r>
        <w:rPr>
          <w:rFonts w:ascii="Arial" w:cs="Arial" w:eastAsia="Arial" w:hAnsi="Arial"/>
          <w:b/>
          <w:bCs/>
          <w:color w:val="042A2B"/>
          <w:sz w:val="28"/>
          <w:szCs w:val="28"/>
        </w:rPr>
        <w:t xml:space="preserve">Occupational violence prevention and de-escalation training</w:t>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9"/>
        <w:gridCol w:w="3489"/>
        <w:gridCol w:w="3488"/>
      </w:tblGrid>
      <w:tr>
        <w:tc>
          <w:tcPr>
            <w:tcW w:type="dxa" w:w="3489"/>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b/>
                <w:bCs/>
                <w:color w:val="042A2B"/>
                <w:sz w:val="16"/>
                <w:szCs w:val="16"/>
              </w:rPr>
              <w:t xml:space="preserve">Service / unit: </w:t>
            </w:r>
            <w:r>
              <w:rPr>
                <w:rFonts w:ascii="Arial" w:cs="Arial" w:eastAsia="Arial" w:hAnsi="Arial"/>
                <w:color w:val="042A2B"/>
                <w:sz w:val="16"/>
                <w:szCs w:val="16"/>
              </w:rPr>
              <w:t xml:space="preserve"/>
            </w:r>
          </w:p>
        </w:tc>
        <w:tc>
          <w:tcPr>
            <w:tcW w:type="dxa" w:w="3489"/>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b/>
                <w:bCs/>
                <w:color w:val="042A2B"/>
                <w:sz w:val="16"/>
                <w:szCs w:val="16"/>
              </w:rPr>
              <w:t xml:space="preserve">Prepared by: </w:t>
            </w:r>
          </w:p>
        </w:tc>
        <w:tc>
          <w:tcPr>
            <w:tcW w:type="dxa" w:w="3488"/>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b/>
                <w:bCs/>
                <w:color w:val="042A2B"/>
                <w:sz w:val="16"/>
                <w:szCs w:val="16"/>
              </w:rPr>
              <w:t xml:space="preserve">Date: </w:t>
            </w:r>
          </w:p>
        </w:tc>
      </w:tr>
    </w:tbl>
    <w:p>
      <w:pPr>
        <w:keepNext/>
        <w:spacing w:after="40" w:before="110"/>
      </w:pPr>
      <w:r>
        <w:rPr>
          <w:rFonts w:ascii="Arial" w:cs="Arial" w:eastAsia="Arial" w:hAnsi="Arial"/>
          <w:b/>
          <w:bCs/>
          <w:color w:val="285246"/>
          <w:sz w:val="19"/>
          <w:szCs w:val="19"/>
        </w:rPr>
        <w:t xml:space="preserve">1. Recommendation and decision needed</w:t>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c>
          <w:tcPr>
            <w:tcW w:type="dxa" w:w="10466"/>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i/>
                <w:iCs/>
                <w:color w:val="4F625B"/>
                <w:sz w:val="15"/>
                <w:szCs w:val="15"/>
              </w:rPr>
              <w:t xml:space="preserve">We recommend [program] for [units / staff groups], costing $[x] over [period], funded from [budget or fund]. Decision needed by [date].</w:t>
            </w:r>
          </w:p>
          <w:p>
            <w:pPr>
              <w:spacing w:after="40" w:before="0"/>
            </w:pPr>
            <w:r>
              <w:rPr>
                <w:rFonts w:ascii="Arial" w:cs="Arial" w:eastAsia="Arial" w:hAnsi="Arial"/>
                <w:color w:val="042A2B"/>
                <w:sz w:val="17"/>
                <w:szCs w:val="17"/>
              </w:rPr>
              <w:t xml:space="preserve"/>
            </w:r>
          </w:p>
          <w:p>
            <w:pPr>
              <w:spacing w:after="40" w:before="0"/>
            </w:pPr>
            <w:r>
              <w:rPr>
                <w:rFonts w:ascii="Arial" w:cs="Arial" w:eastAsia="Arial" w:hAnsi="Arial"/>
                <w:color w:val="042A2B"/>
                <w:sz w:val="17"/>
                <w:szCs w:val="17"/>
              </w:rPr>
              <w:t xml:space="preserve"/>
            </w:r>
          </w:p>
        </w:tc>
      </w:tr>
    </w:tbl>
    <w:p>
      <w:pPr>
        <w:keepNext/>
        <w:spacing w:after="40" w:before="110"/>
      </w:pPr>
      <w:r>
        <w:rPr>
          <w:rFonts w:ascii="Arial" w:cs="Arial" w:eastAsia="Arial" w:hAnsi="Arial"/>
          <w:b/>
          <w:bCs/>
          <w:color w:val="285246"/>
          <w:sz w:val="19"/>
          <w:szCs w:val="19"/>
        </w:rPr>
        <w:t xml:space="preserve">2. Why we must act: our duty and our numbers</w:t>
      </w:r>
    </w:p>
    <w:p>
      <w:pPr>
        <w:spacing w:after="40" w:before="0"/>
      </w:pPr>
      <w:r>
        <w:rPr>
          <w:rFonts w:ascii="Arial" w:cs="Arial" w:eastAsia="Arial" w:hAnsi="Arial"/>
          <w:i/>
          <w:iCs/>
          <w:color w:val="4F625B"/>
          <w:sz w:val="15"/>
          <w:szCs w:val="15"/>
        </w:rPr>
        <w:t xml:space="preserve">Violence is not part of the job. Under WHS law the organisation must eliminate or minimise the risk, including psychosocial risk. Our figures for the last two years:</w:t>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4400"/>
        <w:gridCol w:w="1700"/>
        <w:gridCol w:w="1700"/>
        <w:gridCol w:w="2666"/>
      </w:tblGrid>
      <w:tr>
        <w:tc>
          <w:tcPr>
            <w:tcW w:type="dxa" w:w="4400"/>
            <w:tcBorders>
              <w:top w:val="single" w:color="B9C7BF" w:sz="4"/>
              <w:left w:val="single" w:color="B9C7BF" w:sz="4"/>
              <w:bottom w:val="single" w:color="B9C7BF" w:sz="4"/>
              <w:right w:val="single" w:color="B9C7BF" w:sz="4"/>
            </w:tcBorders>
            <w:shd w:fill="DCE3D1" w:color="auto" w:val="clear"/>
            <w:tcMar>
              <w:top w:type="dxa" w:w="50"/>
              <w:left w:type="dxa" w:w="90"/>
              <w:bottom w:type="dxa" w:w="50"/>
              <w:right w:type="dxa" w:w="90"/>
            </w:tcMar>
          </w:tcPr>
          <w:p>
            <w:pPr>
              <w:spacing w:after="40" w:before="0"/>
            </w:pPr>
            <w:r>
              <w:rPr>
                <w:rFonts w:ascii="Arial" w:cs="Arial" w:eastAsia="Arial" w:hAnsi="Arial"/>
                <w:b/>
                <w:bCs/>
                <w:color w:val="285246"/>
                <w:sz w:val="16"/>
                <w:szCs w:val="16"/>
              </w:rPr>
              <w:t xml:space="preserve">Measure</w:t>
            </w:r>
          </w:p>
        </w:tc>
        <w:tc>
          <w:tcPr>
            <w:tcW w:type="dxa" w:w="1700"/>
            <w:tcBorders>
              <w:top w:val="single" w:color="B9C7BF" w:sz="4"/>
              <w:left w:val="single" w:color="B9C7BF" w:sz="4"/>
              <w:bottom w:val="single" w:color="B9C7BF" w:sz="4"/>
              <w:right w:val="single" w:color="B9C7BF" w:sz="4"/>
            </w:tcBorders>
            <w:shd w:fill="DCE3D1" w:color="auto" w:val="clear"/>
            <w:tcMar>
              <w:top w:type="dxa" w:w="50"/>
              <w:left w:type="dxa" w:w="90"/>
              <w:bottom w:type="dxa" w:w="50"/>
              <w:right w:type="dxa" w:w="90"/>
            </w:tcMar>
          </w:tcPr>
          <w:p>
            <w:pPr>
              <w:spacing w:after="40" w:before="0"/>
            </w:pPr>
            <w:r>
              <w:rPr>
                <w:rFonts w:ascii="Arial" w:cs="Arial" w:eastAsia="Arial" w:hAnsi="Arial"/>
                <w:b/>
                <w:bCs/>
                <w:color w:val="285246"/>
                <w:sz w:val="16"/>
                <w:szCs w:val="16"/>
              </w:rPr>
              <w:t xml:space="preserve">Last year</w:t>
            </w:r>
          </w:p>
        </w:tc>
        <w:tc>
          <w:tcPr>
            <w:tcW w:type="dxa" w:w="1700"/>
            <w:tcBorders>
              <w:top w:val="single" w:color="B9C7BF" w:sz="4"/>
              <w:left w:val="single" w:color="B9C7BF" w:sz="4"/>
              <w:bottom w:val="single" w:color="B9C7BF" w:sz="4"/>
              <w:right w:val="single" w:color="B9C7BF" w:sz="4"/>
            </w:tcBorders>
            <w:shd w:fill="DCE3D1" w:color="auto" w:val="clear"/>
            <w:tcMar>
              <w:top w:type="dxa" w:w="50"/>
              <w:left w:type="dxa" w:w="90"/>
              <w:bottom w:type="dxa" w:w="50"/>
              <w:right w:type="dxa" w:w="90"/>
            </w:tcMar>
          </w:tcPr>
          <w:p>
            <w:pPr>
              <w:spacing w:after="40" w:before="0"/>
            </w:pPr>
            <w:r>
              <w:rPr>
                <w:rFonts w:ascii="Arial" w:cs="Arial" w:eastAsia="Arial" w:hAnsi="Arial"/>
                <w:b/>
                <w:bCs/>
                <w:color w:val="285246"/>
                <w:sz w:val="16"/>
                <w:szCs w:val="16"/>
              </w:rPr>
              <w:t xml:space="preserve">This year</w:t>
            </w:r>
          </w:p>
        </w:tc>
        <w:tc>
          <w:tcPr>
            <w:tcW w:type="dxa" w:w="2666"/>
            <w:tcBorders>
              <w:top w:val="single" w:color="B9C7BF" w:sz="4"/>
              <w:left w:val="single" w:color="B9C7BF" w:sz="4"/>
              <w:bottom w:val="single" w:color="B9C7BF" w:sz="4"/>
              <w:right w:val="single" w:color="B9C7BF" w:sz="4"/>
            </w:tcBorders>
            <w:shd w:fill="DCE3D1" w:color="auto" w:val="clear"/>
            <w:tcMar>
              <w:top w:type="dxa" w:w="50"/>
              <w:left w:type="dxa" w:w="90"/>
              <w:bottom w:type="dxa" w:w="50"/>
              <w:right w:type="dxa" w:w="90"/>
            </w:tcMar>
          </w:tcPr>
          <w:p>
            <w:pPr>
              <w:spacing w:after="40" w:before="0"/>
            </w:pPr>
            <w:r>
              <w:rPr>
                <w:rFonts w:ascii="Arial" w:cs="Arial" w:eastAsia="Arial" w:hAnsi="Arial"/>
                <w:b/>
                <w:bCs/>
                <w:color w:val="285246"/>
                <w:sz w:val="16"/>
                <w:szCs w:val="16"/>
              </w:rPr>
              <w:t xml:space="preserve">Source</w:t>
            </w:r>
          </w:p>
        </w:tc>
      </w:tr>
      <w:tr>
        <w:tc>
          <w:tcPr>
            <w:tcW w:type="dxa" w:w="4400"/>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color w:val="042A2B"/>
                <w:sz w:val="15"/>
                <w:szCs w:val="15"/>
              </w:rPr>
              <w:t xml:space="preserve">Violence incidents (incl. verbal) / Code Greys or Blacks</w:t>
            </w:r>
          </w:p>
        </w:tc>
        <w:tc>
          <w:tcPr>
            <w:tcW w:type="dxa" w:w="1700"/>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color w:val="042A2B"/>
                <w:sz w:val="15"/>
                <w:szCs w:val="15"/>
              </w:rPr>
              <w:t xml:space="preserve"/>
            </w:r>
          </w:p>
        </w:tc>
        <w:tc>
          <w:tcPr>
            <w:tcW w:type="dxa" w:w="1700"/>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color w:val="042A2B"/>
                <w:sz w:val="15"/>
                <w:szCs w:val="15"/>
              </w:rPr>
              <w:t xml:space="preserve"/>
            </w:r>
          </w:p>
        </w:tc>
        <w:tc>
          <w:tcPr>
            <w:tcW w:type="dxa" w:w="2666"/>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color w:val="4F625B"/>
                <w:sz w:val="15"/>
                <w:szCs w:val="15"/>
              </w:rPr>
              <w:t xml:space="preserve">Incident system</w:t>
            </w:r>
          </w:p>
        </w:tc>
      </w:tr>
      <w:tr>
        <w:tc>
          <w:tcPr>
            <w:tcW w:type="dxa" w:w="4400"/>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color w:val="042A2B"/>
                <w:sz w:val="15"/>
                <w:szCs w:val="15"/>
              </w:rPr>
              <w:t xml:space="preserve">Seclusion and restraint events</w:t>
            </w:r>
          </w:p>
        </w:tc>
        <w:tc>
          <w:tcPr>
            <w:tcW w:type="dxa" w:w="1700"/>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color w:val="042A2B"/>
                <w:sz w:val="15"/>
                <w:szCs w:val="15"/>
              </w:rPr>
              <w:t xml:space="preserve"/>
            </w:r>
          </w:p>
        </w:tc>
        <w:tc>
          <w:tcPr>
            <w:tcW w:type="dxa" w:w="1700"/>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color w:val="042A2B"/>
                <w:sz w:val="15"/>
                <w:szCs w:val="15"/>
              </w:rPr>
              <w:t xml:space="preserve"/>
            </w:r>
          </w:p>
        </w:tc>
        <w:tc>
          <w:tcPr>
            <w:tcW w:type="dxa" w:w="2666"/>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color w:val="4F625B"/>
                <w:sz w:val="15"/>
                <w:szCs w:val="15"/>
              </w:rPr>
              <w:t xml:space="preserve">Chief Psychiatrist reporting</w:t>
            </w:r>
          </w:p>
        </w:tc>
      </w:tr>
      <w:tr>
        <w:tc>
          <w:tcPr>
            <w:tcW w:type="dxa" w:w="4400"/>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color w:val="042A2B"/>
                <w:sz w:val="15"/>
                <w:szCs w:val="15"/>
              </w:rPr>
              <w:t xml:space="preserve">Workers' comp claims from violence / days lost</w:t>
            </w:r>
          </w:p>
        </w:tc>
        <w:tc>
          <w:tcPr>
            <w:tcW w:type="dxa" w:w="1700"/>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color w:val="042A2B"/>
                <w:sz w:val="15"/>
                <w:szCs w:val="15"/>
              </w:rPr>
              <w:t xml:space="preserve"/>
            </w:r>
          </w:p>
        </w:tc>
        <w:tc>
          <w:tcPr>
            <w:tcW w:type="dxa" w:w="1700"/>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color w:val="042A2B"/>
                <w:sz w:val="15"/>
                <w:szCs w:val="15"/>
              </w:rPr>
              <w:t xml:space="preserve"/>
            </w:r>
          </w:p>
        </w:tc>
        <w:tc>
          <w:tcPr>
            <w:tcW w:type="dxa" w:w="2666"/>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color w:val="4F625B"/>
                <w:sz w:val="15"/>
                <w:szCs w:val="15"/>
              </w:rPr>
              <w:t xml:space="preserve">WHS / claims manager</w:t>
            </w:r>
          </w:p>
        </w:tc>
      </w:tr>
      <w:tr>
        <w:tc>
          <w:tcPr>
            <w:tcW w:type="dxa" w:w="4400"/>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color w:val="042A2B"/>
                <w:sz w:val="15"/>
                <w:szCs w:val="15"/>
              </w:rPr>
              <w:t xml:space="preserve">Workers' comp premium, contribution or expense</w:t>
            </w:r>
          </w:p>
        </w:tc>
        <w:tc>
          <w:tcPr>
            <w:tcW w:type="dxa" w:w="1700"/>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color w:val="042A2B"/>
                <w:sz w:val="15"/>
                <w:szCs w:val="15"/>
              </w:rPr>
              <w:t xml:space="preserve"/>
            </w:r>
          </w:p>
        </w:tc>
        <w:tc>
          <w:tcPr>
            <w:tcW w:type="dxa" w:w="1700"/>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color w:val="042A2B"/>
                <w:sz w:val="15"/>
                <w:szCs w:val="15"/>
              </w:rPr>
              <w:t xml:space="preserve"/>
            </w:r>
          </w:p>
        </w:tc>
        <w:tc>
          <w:tcPr>
            <w:tcW w:type="dxa" w:w="2666"/>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color w:val="4F625B"/>
                <w:sz w:val="15"/>
                <w:szCs w:val="15"/>
              </w:rPr>
              <w:t xml:space="preserve">Financial statements</w:t>
            </w:r>
          </w:p>
        </w:tc>
      </w:tr>
      <w:tr>
        <w:tc>
          <w:tcPr>
            <w:tcW w:type="dxa" w:w="4400"/>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color w:val="042A2B"/>
                <w:sz w:val="15"/>
                <w:szCs w:val="15"/>
              </w:rPr>
              <w:t xml:space="preserve">Sick leave, overtime and agency backfill in high-risk units</w:t>
            </w:r>
          </w:p>
        </w:tc>
        <w:tc>
          <w:tcPr>
            <w:tcW w:type="dxa" w:w="1700"/>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color w:val="042A2B"/>
                <w:sz w:val="15"/>
                <w:szCs w:val="15"/>
              </w:rPr>
              <w:t xml:space="preserve"/>
            </w:r>
          </w:p>
        </w:tc>
        <w:tc>
          <w:tcPr>
            <w:tcW w:type="dxa" w:w="1700"/>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color w:val="042A2B"/>
                <w:sz w:val="15"/>
                <w:szCs w:val="15"/>
              </w:rPr>
              <w:t xml:space="preserve"/>
            </w:r>
          </w:p>
        </w:tc>
        <w:tc>
          <w:tcPr>
            <w:tcW w:type="dxa" w:w="2666"/>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color w:val="4F625B"/>
                <w:sz w:val="15"/>
                <w:szCs w:val="15"/>
              </w:rPr>
              <w:t xml:space="preserve">HR / finance</w:t>
            </w:r>
          </w:p>
        </w:tc>
      </w:tr>
    </w:tbl>
    <w:p>
      <w:pPr>
        <w:keepNext/>
        <w:spacing w:after="40" w:before="110"/>
      </w:pPr>
      <w:r>
        <w:rPr>
          <w:rFonts w:ascii="Arial" w:cs="Arial" w:eastAsia="Arial" w:hAnsi="Arial"/>
          <w:b/>
          <w:bCs/>
          <w:color w:val="285246"/>
          <w:sz w:val="19"/>
          <w:szCs w:val="19"/>
        </w:rPr>
        <w:t xml:space="preserve">3. The five arguments (one or two lines each)</w:t>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600"/>
        <w:gridCol w:w="7866"/>
      </w:tblGrid>
      <w:tr>
        <w:tc>
          <w:tcPr>
            <w:tcW w:type="dxa" w:w="2600"/>
            <w:tcBorders>
              <w:top w:val="single" w:color="B9C7BF" w:sz="4"/>
              <w:left w:val="single" w:color="B9C7BF" w:sz="4"/>
              <w:bottom w:val="single" w:color="B9C7BF" w:sz="4"/>
              <w:right w:val="single" w:color="B9C7BF" w:sz="4"/>
            </w:tcBorders>
            <w:shd w:fill="FBF8F1" w:color="auto" w:val="clear"/>
            <w:tcMar>
              <w:top w:type="dxa" w:w="50"/>
              <w:left w:type="dxa" w:w="90"/>
              <w:bottom w:type="dxa" w:w="50"/>
              <w:right w:type="dxa" w:w="90"/>
            </w:tcMar>
          </w:tcPr>
          <w:p>
            <w:pPr>
              <w:spacing w:after="40" w:before="0"/>
            </w:pPr>
            <w:r>
              <w:rPr>
                <w:rFonts w:ascii="Arial" w:cs="Arial" w:eastAsia="Arial" w:hAnsi="Arial"/>
                <w:b/>
                <w:bCs/>
                <w:color w:val="042A2B"/>
                <w:sz w:val="16"/>
                <w:szCs w:val="16"/>
              </w:rPr>
              <w:t xml:space="preserve">Avoided cost</w:t>
            </w:r>
          </w:p>
        </w:tc>
        <w:tc>
          <w:tcPr>
            <w:tcW w:type="dxa" w:w="7866"/>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i/>
                <w:iCs/>
                <w:color w:val="4F625B"/>
                <w:sz w:val="15"/>
                <w:szCs w:val="15"/>
              </w:rPr>
              <w:t xml:space="preserve">One avoided claim pays for the program: [our average claim cost] vs [program cost].</w:t>
            </w:r>
          </w:p>
        </w:tc>
      </w:tr>
      <w:tr>
        <w:tc>
          <w:tcPr>
            <w:tcW w:type="dxa" w:w="2600"/>
            <w:tcBorders>
              <w:top w:val="single" w:color="B9C7BF" w:sz="4"/>
              <w:left w:val="single" w:color="B9C7BF" w:sz="4"/>
              <w:bottom w:val="single" w:color="B9C7BF" w:sz="4"/>
              <w:right w:val="single" w:color="B9C7BF" w:sz="4"/>
            </w:tcBorders>
            <w:shd w:fill="FBF8F1" w:color="auto" w:val="clear"/>
            <w:tcMar>
              <w:top w:type="dxa" w:w="50"/>
              <w:left w:type="dxa" w:w="90"/>
              <w:bottom w:type="dxa" w:w="50"/>
              <w:right w:type="dxa" w:w="90"/>
            </w:tcMar>
          </w:tcPr>
          <w:p>
            <w:pPr>
              <w:spacing w:after="40" w:before="0"/>
            </w:pPr>
            <w:r>
              <w:rPr>
                <w:rFonts w:ascii="Arial" w:cs="Arial" w:eastAsia="Arial" w:hAnsi="Arial"/>
                <w:b/>
                <w:bCs/>
                <w:color w:val="042A2B"/>
                <w:sz w:val="16"/>
                <w:szCs w:val="16"/>
              </w:rPr>
              <w:t xml:space="preserve">Workforce and lost days</w:t>
            </w:r>
          </w:p>
        </w:tc>
        <w:tc>
          <w:tcPr>
            <w:tcW w:type="dxa" w:w="7866"/>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i/>
                <w:iCs/>
                <w:color w:val="4F625B"/>
                <w:sz w:val="15"/>
                <w:szCs w:val="15"/>
              </w:rPr>
              <w:t xml:space="preserve">Days lost and backfill cost in our high-risk units: [figure].</w:t>
            </w:r>
          </w:p>
        </w:tc>
      </w:tr>
      <w:tr>
        <w:tc>
          <w:tcPr>
            <w:tcW w:type="dxa" w:w="2600"/>
            <w:tcBorders>
              <w:top w:val="single" w:color="B9C7BF" w:sz="4"/>
              <w:left w:val="single" w:color="B9C7BF" w:sz="4"/>
              <w:bottom w:val="single" w:color="B9C7BF" w:sz="4"/>
              <w:right w:val="single" w:color="B9C7BF" w:sz="4"/>
            </w:tcBorders>
            <w:shd w:fill="FBF8F1" w:color="auto" w:val="clear"/>
            <w:tcMar>
              <w:top w:type="dxa" w:w="50"/>
              <w:left w:type="dxa" w:w="90"/>
              <w:bottom w:type="dxa" w:w="50"/>
              <w:right w:type="dxa" w:w="90"/>
            </w:tcMar>
          </w:tcPr>
          <w:p>
            <w:pPr>
              <w:spacing w:after="40" w:before="0"/>
            </w:pPr>
            <w:r>
              <w:rPr>
                <w:rFonts w:ascii="Arial" w:cs="Arial" w:eastAsia="Arial" w:hAnsi="Arial"/>
                <w:b/>
                <w:bCs/>
                <w:color w:val="042A2B"/>
                <w:sz w:val="16"/>
                <w:szCs w:val="16"/>
              </w:rPr>
              <w:t xml:space="preserve">WHS compliance</w:t>
            </w:r>
          </w:p>
        </w:tc>
        <w:tc>
          <w:tcPr>
            <w:tcW w:type="dxa" w:w="7866"/>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i/>
                <w:iCs/>
                <w:color w:val="4F625B"/>
                <w:sz w:val="15"/>
                <w:szCs w:val="15"/>
              </w:rPr>
              <w:t xml:space="preserve">Training as one control in a system of controls; [state policy or standard] requirements met.</w:t>
            </w:r>
          </w:p>
        </w:tc>
      </w:tr>
      <w:tr>
        <w:tc>
          <w:tcPr>
            <w:tcW w:type="dxa" w:w="2600"/>
            <w:tcBorders>
              <w:top w:val="single" w:color="B9C7BF" w:sz="4"/>
              <w:left w:val="single" w:color="B9C7BF" w:sz="4"/>
              <w:bottom w:val="single" w:color="B9C7BF" w:sz="4"/>
              <w:right w:val="single" w:color="B9C7BF" w:sz="4"/>
            </w:tcBorders>
            <w:shd w:fill="FBF8F1" w:color="auto" w:val="clear"/>
            <w:tcMar>
              <w:top w:type="dxa" w:w="50"/>
              <w:left w:type="dxa" w:w="90"/>
              <w:bottom w:type="dxa" w:w="50"/>
              <w:right w:type="dxa" w:w="90"/>
            </w:tcMar>
          </w:tcPr>
          <w:p>
            <w:pPr>
              <w:spacing w:after="40" w:before="0"/>
            </w:pPr>
            <w:r>
              <w:rPr>
                <w:rFonts w:ascii="Arial" w:cs="Arial" w:eastAsia="Arial" w:hAnsi="Arial"/>
                <w:b/>
                <w:bCs/>
                <w:color w:val="042A2B"/>
                <w:sz w:val="16"/>
                <w:szCs w:val="16"/>
              </w:rPr>
              <w:t xml:space="preserve">Hidden risk</w:t>
            </w:r>
          </w:p>
        </w:tc>
        <w:tc>
          <w:tcPr>
            <w:tcW w:type="dxa" w:w="7866"/>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i/>
                <w:iCs/>
                <w:color w:val="4F625B"/>
                <w:sz w:val="15"/>
                <w:szCs w:val="15"/>
              </w:rPr>
              <w:t xml:space="preserve">Incidents and claims understate our exposure: [our reporting rate or sick-leave use].</w:t>
            </w:r>
          </w:p>
        </w:tc>
      </w:tr>
      <w:tr>
        <w:tc>
          <w:tcPr>
            <w:tcW w:type="dxa" w:w="2600"/>
            <w:tcBorders>
              <w:top w:val="single" w:color="B9C7BF" w:sz="4"/>
              <w:left w:val="single" w:color="B9C7BF" w:sz="4"/>
              <w:bottom w:val="single" w:color="B9C7BF" w:sz="4"/>
              <w:right w:val="single" w:color="B9C7BF" w:sz="4"/>
            </w:tcBorders>
            <w:shd w:fill="FBF8F1" w:color="auto" w:val="clear"/>
            <w:tcMar>
              <w:top w:type="dxa" w:w="50"/>
              <w:left w:type="dxa" w:w="90"/>
              <w:bottom w:type="dxa" w:w="50"/>
              <w:right w:type="dxa" w:w="90"/>
            </w:tcMar>
          </w:tcPr>
          <w:p>
            <w:pPr>
              <w:spacing w:after="40" w:before="0"/>
            </w:pPr>
            <w:r>
              <w:rPr>
                <w:rFonts w:ascii="Arial" w:cs="Arial" w:eastAsia="Arial" w:hAnsi="Arial"/>
                <w:b/>
                <w:bCs/>
                <w:color w:val="042A2B"/>
                <w:sz w:val="16"/>
                <w:szCs w:val="16"/>
              </w:rPr>
              <w:t xml:space="preserve">Clinical evidence</w:t>
            </w:r>
          </w:p>
        </w:tc>
        <w:tc>
          <w:tcPr>
            <w:tcW w:type="dxa" w:w="7866"/>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i/>
                <w:iCs/>
                <w:color w:val="4F625B"/>
                <w:sz w:val="15"/>
                <w:szCs w:val="15"/>
              </w:rPr>
              <w:t xml:space="preserve">Safewards reduces conflict and containment (randomised trial). Aligns with NSQHS actions 5.34–5.36.</w:t>
            </w:r>
          </w:p>
        </w:tc>
      </w:tr>
    </w:tbl>
    <w:p>
      <w:pPr>
        <w:keepNext/>
        <w:spacing w:after="40" w:before="110"/>
      </w:pPr>
      <w:r>
        <w:rPr>
          <w:rFonts w:ascii="Arial" w:cs="Arial" w:eastAsia="Arial" w:hAnsi="Arial"/>
          <w:b/>
          <w:bCs/>
          <w:color w:val="285246"/>
          <w:sz w:val="19"/>
          <w:szCs w:val="19"/>
        </w:rPr>
        <w:t xml:space="preserve">4. Options</w:t>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700"/>
        <w:gridCol w:w="1500"/>
        <w:gridCol w:w="3400"/>
        <w:gridCol w:w="2866"/>
      </w:tblGrid>
      <w:tr>
        <w:tc>
          <w:tcPr>
            <w:tcW w:type="dxa" w:w="2700"/>
            <w:tcBorders>
              <w:top w:val="single" w:color="B9C7BF" w:sz="4"/>
              <w:left w:val="single" w:color="B9C7BF" w:sz="4"/>
              <w:bottom w:val="single" w:color="B9C7BF" w:sz="4"/>
              <w:right w:val="single" w:color="B9C7BF" w:sz="4"/>
            </w:tcBorders>
            <w:shd w:fill="DCE3D1" w:color="auto" w:val="clear"/>
            <w:tcMar>
              <w:top w:type="dxa" w:w="50"/>
              <w:left w:type="dxa" w:w="90"/>
              <w:bottom w:type="dxa" w:w="50"/>
              <w:right w:type="dxa" w:w="90"/>
            </w:tcMar>
          </w:tcPr>
          <w:p>
            <w:pPr>
              <w:spacing w:after="40" w:before="0"/>
            </w:pPr>
            <w:r>
              <w:rPr>
                <w:rFonts w:ascii="Arial" w:cs="Arial" w:eastAsia="Arial" w:hAnsi="Arial"/>
                <w:b/>
                <w:bCs/>
                <w:color w:val="285246"/>
                <w:sz w:val="16"/>
                <w:szCs w:val="16"/>
              </w:rPr>
              <w:t xml:space="preserve">Option</w:t>
            </w:r>
          </w:p>
        </w:tc>
        <w:tc>
          <w:tcPr>
            <w:tcW w:type="dxa" w:w="1500"/>
            <w:tcBorders>
              <w:top w:val="single" w:color="B9C7BF" w:sz="4"/>
              <w:left w:val="single" w:color="B9C7BF" w:sz="4"/>
              <w:bottom w:val="single" w:color="B9C7BF" w:sz="4"/>
              <w:right w:val="single" w:color="B9C7BF" w:sz="4"/>
            </w:tcBorders>
            <w:shd w:fill="DCE3D1" w:color="auto" w:val="clear"/>
            <w:tcMar>
              <w:top w:type="dxa" w:w="50"/>
              <w:left w:type="dxa" w:w="90"/>
              <w:bottom w:type="dxa" w:w="50"/>
              <w:right w:type="dxa" w:w="90"/>
            </w:tcMar>
          </w:tcPr>
          <w:p>
            <w:pPr>
              <w:spacing w:after="40" w:before="0"/>
            </w:pPr>
            <w:r>
              <w:rPr>
                <w:rFonts w:ascii="Arial" w:cs="Arial" w:eastAsia="Arial" w:hAnsi="Arial"/>
                <w:b/>
                <w:bCs/>
                <w:color w:val="285246"/>
                <w:sz w:val="16"/>
                <w:szCs w:val="16"/>
              </w:rPr>
              <w:t xml:space="preserve">Cost</w:t>
            </w:r>
          </w:p>
        </w:tc>
        <w:tc>
          <w:tcPr>
            <w:tcW w:type="dxa" w:w="3400"/>
            <w:tcBorders>
              <w:top w:val="single" w:color="B9C7BF" w:sz="4"/>
              <w:left w:val="single" w:color="B9C7BF" w:sz="4"/>
              <w:bottom w:val="single" w:color="B9C7BF" w:sz="4"/>
              <w:right w:val="single" w:color="B9C7BF" w:sz="4"/>
            </w:tcBorders>
            <w:shd w:fill="DCE3D1" w:color="auto" w:val="clear"/>
            <w:tcMar>
              <w:top w:type="dxa" w:w="50"/>
              <w:left w:type="dxa" w:w="90"/>
              <w:bottom w:type="dxa" w:w="50"/>
              <w:right w:type="dxa" w:w="90"/>
            </w:tcMar>
          </w:tcPr>
          <w:p>
            <w:pPr>
              <w:spacing w:after="40" w:before="0"/>
            </w:pPr>
            <w:r>
              <w:rPr>
                <w:rFonts w:ascii="Arial" w:cs="Arial" w:eastAsia="Arial" w:hAnsi="Arial"/>
                <w:b/>
                <w:bCs/>
                <w:color w:val="285246"/>
                <w:sz w:val="16"/>
                <w:szCs w:val="16"/>
              </w:rPr>
              <w:t xml:space="preserve">Benefit</w:t>
            </w:r>
          </w:p>
        </w:tc>
        <w:tc>
          <w:tcPr>
            <w:tcW w:type="dxa" w:w="2866"/>
            <w:tcBorders>
              <w:top w:val="single" w:color="B9C7BF" w:sz="4"/>
              <w:left w:val="single" w:color="B9C7BF" w:sz="4"/>
              <w:bottom w:val="single" w:color="B9C7BF" w:sz="4"/>
              <w:right w:val="single" w:color="B9C7BF" w:sz="4"/>
            </w:tcBorders>
            <w:shd w:fill="DCE3D1" w:color="auto" w:val="clear"/>
            <w:tcMar>
              <w:top w:type="dxa" w:w="50"/>
              <w:left w:type="dxa" w:w="90"/>
              <w:bottom w:type="dxa" w:w="50"/>
              <w:right w:type="dxa" w:w="90"/>
            </w:tcMar>
          </w:tcPr>
          <w:p>
            <w:pPr>
              <w:spacing w:after="40" w:before="0"/>
            </w:pPr>
            <w:r>
              <w:rPr>
                <w:rFonts w:ascii="Arial" w:cs="Arial" w:eastAsia="Arial" w:hAnsi="Arial"/>
                <w:b/>
                <w:bCs/>
                <w:color w:val="285246"/>
                <w:sz w:val="16"/>
                <w:szCs w:val="16"/>
              </w:rPr>
              <w:t xml:space="preserve">Risk</w:t>
            </w:r>
          </w:p>
        </w:tc>
      </w:tr>
      <w:tr>
        <w:tc>
          <w:tcPr>
            <w:tcW w:type="dxa" w:w="2700"/>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b w:val="false"/>
                <w:bCs w:val="false"/>
                <w:color w:val="042A2B"/>
                <w:sz w:val="15"/>
                <w:szCs w:val="15"/>
              </w:rPr>
              <w:t xml:space="preserve">A. Do nothing</w:t>
            </w:r>
          </w:p>
        </w:tc>
        <w:tc>
          <w:tcPr>
            <w:tcW w:type="dxa" w:w="1500"/>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b w:val="false"/>
                <w:bCs w:val="false"/>
                <w:color w:val="042A2B"/>
                <w:sz w:val="15"/>
                <w:szCs w:val="15"/>
              </w:rPr>
              <w:t xml:space="preserve">$0 up front</w:t>
            </w:r>
          </w:p>
        </w:tc>
        <w:tc>
          <w:tcPr>
            <w:tcW w:type="dxa" w:w="3400"/>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b w:val="false"/>
                <w:bCs w:val="false"/>
                <w:color w:val="042A2B"/>
                <w:sz w:val="15"/>
                <w:szCs w:val="15"/>
              </w:rPr>
              <w:t xml:space="preserve">None</w:t>
            </w:r>
          </w:p>
        </w:tc>
        <w:tc>
          <w:tcPr>
            <w:tcW w:type="dxa" w:w="2866"/>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b w:val="false"/>
                <w:bCs w:val="false"/>
                <w:color w:val="042A2B"/>
                <w:sz w:val="15"/>
                <w:szCs w:val="15"/>
              </w:rPr>
              <w:t xml:space="preserve">Incidents, claims and premiums keep rising</w:t>
            </w:r>
          </w:p>
        </w:tc>
      </w:tr>
      <w:tr>
        <w:tc>
          <w:tcPr>
            <w:tcW w:type="dxa" w:w="2700"/>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b w:val="false"/>
                <w:bCs w:val="false"/>
                <w:color w:val="042A2B"/>
                <w:sz w:val="15"/>
                <w:szCs w:val="15"/>
              </w:rPr>
              <w:t xml:space="preserve">B. One-off training</w:t>
            </w:r>
          </w:p>
        </w:tc>
        <w:tc>
          <w:tcPr>
            <w:tcW w:type="dxa" w:w="1500"/>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b w:val="false"/>
                <w:bCs w:val="false"/>
                <w:color w:val="042A2B"/>
                <w:sz w:val="15"/>
                <w:szCs w:val="15"/>
              </w:rPr>
              <w:t xml:space="preserve"/>
            </w:r>
          </w:p>
        </w:tc>
        <w:tc>
          <w:tcPr>
            <w:tcW w:type="dxa" w:w="3400"/>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b w:val="false"/>
                <w:bCs w:val="false"/>
                <w:color w:val="042A2B"/>
                <w:sz w:val="15"/>
                <w:szCs w:val="15"/>
              </w:rPr>
              <w:t xml:space="preserve"> </w:t>
            </w:r>
          </w:p>
        </w:tc>
        <w:tc>
          <w:tcPr>
            <w:tcW w:type="dxa" w:w="2866"/>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b w:val="false"/>
                <w:bCs w:val="false"/>
                <w:color w:val="042A2B"/>
                <w:sz w:val="15"/>
                <w:szCs w:val="15"/>
              </w:rPr>
              <w:t xml:space="preserve"/>
            </w:r>
          </w:p>
        </w:tc>
      </w:tr>
      <w:tr>
        <w:tc>
          <w:tcPr>
            <w:tcW w:type="dxa" w:w="2700"/>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b/>
                <w:bCs/>
                <w:color w:val="042A2B"/>
                <w:sz w:val="15"/>
                <w:szCs w:val="15"/>
              </w:rPr>
              <w:t xml:space="preserve">C. Recommended: [program]</w:t>
            </w:r>
          </w:p>
        </w:tc>
        <w:tc>
          <w:tcPr>
            <w:tcW w:type="dxa" w:w="1500"/>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b w:val="false"/>
                <w:bCs w:val="false"/>
                <w:color w:val="042A2B"/>
                <w:sz w:val="15"/>
                <w:szCs w:val="15"/>
              </w:rPr>
              <w:t xml:space="preserve"/>
            </w:r>
          </w:p>
        </w:tc>
        <w:tc>
          <w:tcPr>
            <w:tcW w:type="dxa" w:w="3400"/>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b w:val="false"/>
                <w:bCs w:val="false"/>
                <w:color w:val="042A2B"/>
                <w:sz w:val="15"/>
                <w:szCs w:val="15"/>
              </w:rPr>
              <w:t xml:space="preserve"/>
            </w:r>
          </w:p>
        </w:tc>
        <w:tc>
          <w:tcPr>
            <w:tcW w:type="dxa" w:w="2866"/>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b w:val="false"/>
                <w:bCs w:val="false"/>
                <w:color w:val="042A2B"/>
                <w:sz w:val="15"/>
                <w:szCs w:val="15"/>
              </w:rPr>
              <w:t xml:space="preserve"/>
            </w:r>
          </w:p>
        </w:tc>
      </w:tr>
      <w:tr>
        <w:tc>
          <w:tcPr>
            <w:tcW w:type="dxa" w:w="2700"/>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b w:val="false"/>
                <w:bCs w:val="false"/>
                <w:color w:val="042A2B"/>
                <w:sz w:val="15"/>
                <w:szCs w:val="15"/>
              </w:rPr>
              <w:t xml:space="preserve">D. Pilot on [unit], then decide</w:t>
            </w:r>
          </w:p>
        </w:tc>
        <w:tc>
          <w:tcPr>
            <w:tcW w:type="dxa" w:w="1500"/>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b w:val="false"/>
                <w:bCs w:val="false"/>
                <w:color w:val="042A2B"/>
                <w:sz w:val="15"/>
                <w:szCs w:val="15"/>
              </w:rPr>
              <w:t xml:space="preserve"/>
            </w:r>
          </w:p>
        </w:tc>
        <w:tc>
          <w:tcPr>
            <w:tcW w:type="dxa" w:w="3400"/>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b w:val="false"/>
                <w:bCs w:val="false"/>
                <w:color w:val="042A2B"/>
                <w:sz w:val="15"/>
                <w:szCs w:val="15"/>
              </w:rPr>
              <w:t xml:space="preserve"/>
            </w:r>
          </w:p>
        </w:tc>
        <w:tc>
          <w:tcPr>
            <w:tcW w:type="dxa" w:w="2866"/>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b w:val="false"/>
                <w:bCs w:val="false"/>
                <w:color w:val="042A2B"/>
                <w:sz w:val="15"/>
                <w:szCs w:val="15"/>
              </w:rPr>
              <w:t xml:space="preserve"/>
            </w:r>
          </w:p>
        </w:tc>
      </w:tr>
    </w:tbl>
    <w:p>
      <w:pPr>
        <w:keepNext/>
        <w:spacing w:after="40" w:before="110"/>
      </w:pPr>
      <w:r>
        <w:rPr>
          <w:rFonts w:ascii="Arial" w:cs="Arial" w:eastAsia="Arial" w:hAnsi="Arial"/>
          <w:b/>
          <w:bCs/>
          <w:color w:val="285246"/>
          <w:sz w:val="19"/>
          <w:szCs w:val="19"/>
        </w:rPr>
        <w:t xml:space="preserve">5. How we will know it worked</w:t>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200"/>
        <w:gridCol w:w="6066"/>
        <w:gridCol w:w="2200"/>
      </w:tblGrid>
      <w:tr>
        <w:tc>
          <w:tcPr>
            <w:tcW w:type="dxa" w:w="2200"/>
            <w:tcBorders>
              <w:top w:val="single" w:color="B9C7BF" w:sz="4"/>
              <w:left w:val="single" w:color="B9C7BF" w:sz="4"/>
              <w:bottom w:val="single" w:color="B9C7BF" w:sz="4"/>
              <w:right w:val="single" w:color="B9C7BF" w:sz="4"/>
            </w:tcBorders>
            <w:shd w:fill="DCE3D1" w:color="auto" w:val="clear"/>
            <w:tcMar>
              <w:top w:type="dxa" w:w="50"/>
              <w:left w:type="dxa" w:w="90"/>
              <w:bottom w:type="dxa" w:w="50"/>
              <w:right w:type="dxa" w:w="90"/>
            </w:tcMar>
          </w:tcPr>
          <w:p>
            <w:pPr>
              <w:spacing w:after="40" w:before="0"/>
            </w:pPr>
            <w:r>
              <w:rPr>
                <w:rFonts w:ascii="Arial" w:cs="Arial" w:eastAsia="Arial" w:hAnsi="Arial"/>
                <w:b/>
                <w:bCs/>
                <w:color w:val="285246"/>
                <w:sz w:val="16"/>
                <w:szCs w:val="16"/>
              </w:rPr>
              <w:t xml:space="preserve">When</w:t>
            </w:r>
          </w:p>
        </w:tc>
        <w:tc>
          <w:tcPr>
            <w:tcW w:type="dxa" w:w="6066"/>
            <w:tcBorders>
              <w:top w:val="single" w:color="B9C7BF" w:sz="4"/>
              <w:left w:val="single" w:color="B9C7BF" w:sz="4"/>
              <w:bottom w:val="single" w:color="B9C7BF" w:sz="4"/>
              <w:right w:val="single" w:color="B9C7BF" w:sz="4"/>
            </w:tcBorders>
            <w:shd w:fill="DCE3D1" w:color="auto" w:val="clear"/>
            <w:tcMar>
              <w:top w:type="dxa" w:w="50"/>
              <w:left w:type="dxa" w:w="90"/>
              <w:bottom w:type="dxa" w:w="50"/>
              <w:right w:type="dxa" w:w="90"/>
            </w:tcMar>
          </w:tcPr>
          <w:p>
            <w:pPr>
              <w:spacing w:after="40" w:before="0"/>
            </w:pPr>
            <w:r>
              <w:rPr>
                <w:rFonts w:ascii="Arial" w:cs="Arial" w:eastAsia="Arial" w:hAnsi="Arial"/>
                <w:b/>
                <w:bCs/>
                <w:color w:val="285246"/>
                <w:sz w:val="16"/>
                <w:szCs w:val="16"/>
              </w:rPr>
              <w:t xml:space="preserve">What we will measure</w:t>
            </w:r>
          </w:p>
        </w:tc>
        <w:tc>
          <w:tcPr>
            <w:tcW w:type="dxa" w:w="2200"/>
            <w:tcBorders>
              <w:top w:val="single" w:color="B9C7BF" w:sz="4"/>
              <w:left w:val="single" w:color="B9C7BF" w:sz="4"/>
              <w:bottom w:val="single" w:color="B9C7BF" w:sz="4"/>
              <w:right w:val="single" w:color="B9C7BF" w:sz="4"/>
            </w:tcBorders>
            <w:shd w:fill="DCE3D1" w:color="auto" w:val="clear"/>
            <w:tcMar>
              <w:top w:type="dxa" w:w="50"/>
              <w:left w:type="dxa" w:w="90"/>
              <w:bottom w:type="dxa" w:w="50"/>
              <w:right w:type="dxa" w:w="90"/>
            </w:tcMar>
          </w:tcPr>
          <w:p>
            <w:pPr>
              <w:spacing w:after="40" w:before="0"/>
            </w:pPr>
            <w:r>
              <w:rPr>
                <w:rFonts w:ascii="Arial" w:cs="Arial" w:eastAsia="Arial" w:hAnsi="Arial"/>
                <w:b/>
                <w:bCs/>
                <w:color w:val="285246"/>
                <w:sz w:val="16"/>
                <w:szCs w:val="16"/>
              </w:rPr>
              <w:t xml:space="preserve">Owner</w:t>
            </w:r>
          </w:p>
        </w:tc>
      </w:tr>
      <w:tr>
        <w:tc>
          <w:tcPr>
            <w:tcW w:type="dxa" w:w="2200"/>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color w:val="042A2B"/>
                <w:sz w:val="15"/>
                <w:szCs w:val="15"/>
              </w:rPr>
              <w:t xml:space="preserve">Baseline</w:t>
            </w:r>
          </w:p>
        </w:tc>
        <w:tc>
          <w:tcPr>
            <w:tcW w:type="dxa" w:w="6066"/>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color w:val="042A2B"/>
                <w:sz w:val="15"/>
                <w:szCs w:val="15"/>
              </w:rPr>
              <w:t xml:space="preserve">Incidents, Code Greys/Blacks, seclusion and restraint, claims and days lost, staff sense of safety</w:t>
            </w:r>
          </w:p>
        </w:tc>
        <w:tc>
          <w:tcPr>
            <w:tcW w:type="dxa" w:w="2200"/>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color w:val="042A2B"/>
                <w:sz w:val="15"/>
                <w:szCs w:val="15"/>
              </w:rPr>
              <w:t xml:space="preserve"/>
            </w:r>
          </w:p>
        </w:tc>
      </w:tr>
      <w:tr>
        <w:tc>
          <w:tcPr>
            <w:tcW w:type="dxa" w:w="2200"/>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color w:val="042A2B"/>
                <w:sz w:val="15"/>
                <w:szCs w:val="15"/>
              </w:rPr>
              <w:t xml:space="preserve">90 days</w:t>
            </w:r>
          </w:p>
        </w:tc>
        <w:tc>
          <w:tcPr>
            <w:tcW w:type="dxa" w:w="6066"/>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color w:val="042A2B"/>
                <w:sz w:val="15"/>
                <w:szCs w:val="15"/>
              </w:rPr>
              <w:t xml:space="preserve">Training completion, champion activity, incident trend, staff survey</w:t>
            </w:r>
          </w:p>
        </w:tc>
        <w:tc>
          <w:tcPr>
            <w:tcW w:type="dxa" w:w="2200"/>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color w:val="042A2B"/>
                <w:sz w:val="15"/>
                <w:szCs w:val="15"/>
              </w:rPr>
              <w:t xml:space="preserve"/>
            </w:r>
          </w:p>
        </w:tc>
      </w:tr>
      <w:tr>
        <w:tc>
          <w:tcPr>
            <w:tcW w:type="dxa" w:w="2200"/>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color w:val="042A2B"/>
                <w:sz w:val="15"/>
                <w:szCs w:val="15"/>
              </w:rPr>
              <w:t xml:space="preserve">12 months</w:t>
            </w:r>
          </w:p>
        </w:tc>
        <w:tc>
          <w:tcPr>
            <w:tcW w:type="dxa" w:w="6066"/>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color w:val="042A2B"/>
                <w:sz w:val="15"/>
                <w:szCs w:val="15"/>
              </w:rPr>
              <w:t xml:space="preserve">Same measures against baseline; claims, lost days and cost avoided</w:t>
            </w:r>
          </w:p>
        </w:tc>
        <w:tc>
          <w:tcPr>
            <w:tcW w:type="dxa" w:w="2200"/>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color w:val="042A2B"/>
                <w:sz w:val="15"/>
                <w:szCs w:val="15"/>
              </w:rPr>
              <w:t xml:space="preserve"/>
            </w:r>
          </w:p>
        </w:tc>
      </w:tr>
    </w:tbl>
    <w:p>
      <w:pPr>
        <w:keepNext/>
        <w:spacing w:after="40" w:before="110"/>
      </w:pPr>
      <w:r>
        <w:rPr>
          <w:rFonts w:ascii="Arial" w:cs="Arial" w:eastAsia="Arial" w:hAnsi="Arial"/>
          <w:b/>
          <w:bCs/>
          <w:color w:val="285246"/>
          <w:sz w:val="19"/>
          <w:szCs w:val="19"/>
        </w:rPr>
        <w:t xml:space="preserve">6. Funding source and sign-off</w:t>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c>
          <w:tcPr>
            <w:tcW w:type="dxa" w:w="10466"/>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b/>
                <w:bCs/>
                <w:color w:val="042A2B"/>
                <w:sz w:val="16"/>
                <w:szCs w:val="16"/>
              </w:rPr>
              <w:t xml:space="preserve">Funding source: </w:t>
            </w:r>
            <w:r>
              <w:rPr>
                <w:rFonts w:ascii="Arial" w:cs="Arial" w:eastAsia="Arial" w:hAnsi="Arial"/>
                <w:i/>
                <w:iCs/>
                <w:color w:val="4F625B"/>
                <w:sz w:val="15"/>
                <w:szCs w:val="15"/>
              </w:rPr>
              <w:t xml:space="preserve">[budget, fund or grant, amount, timing]</w:t>
            </w:r>
          </w:p>
        </w:tc>
      </w:tr>
    </w:tbl>
    <w:p>
      <w:pPr>
        <w:spacing w:after="40" w:before="0"/>
      </w:pPr>
      <w:r>
        <w:rPr>
          <w:rFonts w:ascii="Arial" w:cs="Arial" w:eastAsia="Arial" w:hAnsi="Arial"/>
          <w:color w:val="042A2B"/>
          <w:sz w:val="17"/>
          <w:szCs w:val="17"/>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616"/>
        <w:gridCol w:w="2617"/>
        <w:gridCol w:w="2616"/>
        <w:gridCol w:w="2617"/>
      </w:tblGrid>
      <w:tr>
        <w:tc>
          <w:tcPr>
            <w:tcW w:type="dxa" w:w="2616"/>
            <w:tcBorders>
              <w:top w:val="single" w:color="B9C7BF" w:sz="4"/>
              <w:left w:val="single" w:color="B9C7BF" w:sz="4"/>
              <w:bottom w:val="single" w:color="B9C7BF" w:sz="4"/>
              <w:right w:val="single" w:color="B9C7BF" w:sz="4"/>
            </w:tcBorders>
            <w:shd w:fill="DCE3D1" w:color="auto" w:val="clear"/>
            <w:tcMar>
              <w:top w:type="dxa" w:w="50"/>
              <w:left w:type="dxa" w:w="90"/>
              <w:bottom w:type="dxa" w:w="50"/>
              <w:right w:type="dxa" w:w="90"/>
            </w:tcMar>
          </w:tcPr>
          <w:p>
            <w:pPr>
              <w:spacing w:after="40" w:before="0"/>
            </w:pPr>
            <w:r>
              <w:rPr>
                <w:rFonts w:ascii="Arial" w:cs="Arial" w:eastAsia="Arial" w:hAnsi="Arial"/>
                <w:b/>
                <w:bCs/>
                <w:color w:val="285246"/>
                <w:sz w:val="16"/>
                <w:szCs w:val="16"/>
              </w:rPr>
              <w:t xml:space="preserve">Executive sponsor</w:t>
            </w:r>
          </w:p>
        </w:tc>
        <w:tc>
          <w:tcPr>
            <w:tcW w:type="dxa" w:w="2617"/>
            <w:tcBorders>
              <w:top w:val="single" w:color="B9C7BF" w:sz="4"/>
              <w:left w:val="single" w:color="B9C7BF" w:sz="4"/>
              <w:bottom w:val="single" w:color="B9C7BF" w:sz="4"/>
              <w:right w:val="single" w:color="B9C7BF" w:sz="4"/>
            </w:tcBorders>
            <w:shd w:fill="DCE3D1" w:color="auto" w:val="clear"/>
            <w:tcMar>
              <w:top w:type="dxa" w:w="50"/>
              <w:left w:type="dxa" w:w="90"/>
              <w:bottom w:type="dxa" w:w="50"/>
              <w:right w:type="dxa" w:w="90"/>
            </w:tcMar>
          </w:tcPr>
          <w:p>
            <w:pPr>
              <w:spacing w:after="40" w:before="0"/>
            </w:pPr>
            <w:r>
              <w:rPr>
                <w:rFonts w:ascii="Arial" w:cs="Arial" w:eastAsia="Arial" w:hAnsi="Arial"/>
                <w:b/>
                <w:bCs/>
                <w:color w:val="285246"/>
                <w:sz w:val="16"/>
                <w:szCs w:val="16"/>
              </w:rPr>
              <w:t xml:space="preserve">Chief Financial Officer</w:t>
            </w:r>
          </w:p>
        </w:tc>
        <w:tc>
          <w:tcPr>
            <w:tcW w:type="dxa" w:w="2616"/>
            <w:tcBorders>
              <w:top w:val="single" w:color="B9C7BF" w:sz="4"/>
              <w:left w:val="single" w:color="B9C7BF" w:sz="4"/>
              <w:bottom w:val="single" w:color="B9C7BF" w:sz="4"/>
              <w:right w:val="single" w:color="B9C7BF" w:sz="4"/>
            </w:tcBorders>
            <w:shd w:fill="DCE3D1" w:color="auto" w:val="clear"/>
            <w:tcMar>
              <w:top w:type="dxa" w:w="50"/>
              <w:left w:type="dxa" w:w="90"/>
              <w:bottom w:type="dxa" w:w="50"/>
              <w:right w:type="dxa" w:w="90"/>
            </w:tcMar>
          </w:tcPr>
          <w:p>
            <w:pPr>
              <w:spacing w:after="40" w:before="0"/>
            </w:pPr>
            <w:r>
              <w:rPr>
                <w:rFonts w:ascii="Arial" w:cs="Arial" w:eastAsia="Arial" w:hAnsi="Arial"/>
                <w:b/>
                <w:bCs/>
                <w:color w:val="285246"/>
                <w:sz w:val="16"/>
                <w:szCs w:val="16"/>
              </w:rPr>
              <w:t xml:space="preserve">Director of Nursing</w:t>
            </w:r>
          </w:p>
        </w:tc>
        <w:tc>
          <w:tcPr>
            <w:tcW w:type="dxa" w:w="2617"/>
            <w:tcBorders>
              <w:top w:val="single" w:color="B9C7BF" w:sz="4"/>
              <w:left w:val="single" w:color="B9C7BF" w:sz="4"/>
              <w:bottom w:val="single" w:color="B9C7BF" w:sz="4"/>
              <w:right w:val="single" w:color="B9C7BF" w:sz="4"/>
            </w:tcBorders>
            <w:shd w:fill="DCE3D1" w:color="auto" w:val="clear"/>
            <w:tcMar>
              <w:top w:type="dxa" w:w="50"/>
              <w:left w:type="dxa" w:w="90"/>
              <w:bottom w:type="dxa" w:w="50"/>
              <w:right w:type="dxa" w:w="90"/>
            </w:tcMar>
          </w:tcPr>
          <w:p>
            <w:pPr>
              <w:spacing w:after="40" w:before="0"/>
            </w:pPr>
            <w:r>
              <w:rPr>
                <w:rFonts w:ascii="Arial" w:cs="Arial" w:eastAsia="Arial" w:hAnsi="Arial"/>
                <w:b/>
                <w:bCs/>
                <w:color w:val="285246"/>
                <w:sz w:val="16"/>
                <w:szCs w:val="16"/>
              </w:rPr>
              <w:t xml:space="preserve">WHS / Safety</w:t>
            </w:r>
          </w:p>
        </w:tc>
      </w:tr>
      <w:tr>
        <w:tc>
          <w:tcPr>
            <w:tcW w:type="dxa" w:w="2616"/>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color w:val="042A2B"/>
                <w:sz w:val="17"/>
                <w:szCs w:val="17"/>
              </w:rPr>
              <w:t xml:space="preserve"/>
            </w:r>
          </w:p>
          <w:p>
            <w:pPr>
              <w:spacing w:after="40" w:before="0"/>
            </w:pPr>
            <w:r>
              <w:rPr>
                <w:rFonts w:ascii="Arial" w:cs="Arial" w:eastAsia="Arial" w:hAnsi="Arial"/>
                <w:color w:val="4F625B"/>
                <w:sz w:val="14"/>
                <w:szCs w:val="14"/>
              </w:rPr>
              <w:t xml:space="preserve">Name / date</w:t>
            </w:r>
          </w:p>
        </w:tc>
        <w:tc>
          <w:tcPr>
            <w:tcW w:type="dxa" w:w="2617"/>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color w:val="042A2B"/>
                <w:sz w:val="17"/>
                <w:szCs w:val="17"/>
              </w:rPr>
              <w:t xml:space="preserve"/>
            </w:r>
          </w:p>
          <w:p>
            <w:pPr>
              <w:spacing w:after="40" w:before="0"/>
            </w:pPr>
            <w:r>
              <w:rPr>
                <w:rFonts w:ascii="Arial" w:cs="Arial" w:eastAsia="Arial" w:hAnsi="Arial"/>
                <w:color w:val="4F625B"/>
                <w:sz w:val="14"/>
                <w:szCs w:val="14"/>
              </w:rPr>
              <w:t xml:space="preserve">Name / date</w:t>
            </w:r>
          </w:p>
        </w:tc>
        <w:tc>
          <w:tcPr>
            <w:tcW w:type="dxa" w:w="2616"/>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color w:val="042A2B"/>
                <w:sz w:val="17"/>
                <w:szCs w:val="17"/>
              </w:rPr>
              <w:t xml:space="preserve"/>
            </w:r>
          </w:p>
          <w:p>
            <w:pPr>
              <w:spacing w:after="40" w:before="0"/>
            </w:pPr>
            <w:r>
              <w:rPr>
                <w:rFonts w:ascii="Arial" w:cs="Arial" w:eastAsia="Arial" w:hAnsi="Arial"/>
                <w:color w:val="4F625B"/>
                <w:sz w:val="14"/>
                <w:szCs w:val="14"/>
              </w:rPr>
              <w:t xml:space="preserve">Name / date</w:t>
            </w:r>
          </w:p>
        </w:tc>
        <w:tc>
          <w:tcPr>
            <w:tcW w:type="dxa" w:w="2617"/>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color w:val="042A2B"/>
                <w:sz w:val="17"/>
                <w:szCs w:val="17"/>
              </w:rPr>
              <w:t xml:space="preserve"/>
            </w:r>
          </w:p>
          <w:p>
            <w:pPr>
              <w:spacing w:after="40" w:before="0"/>
            </w:pPr>
            <w:r>
              <w:rPr>
                <w:rFonts w:ascii="Arial" w:cs="Arial" w:eastAsia="Arial" w:hAnsi="Arial"/>
                <w:color w:val="4F625B"/>
                <w:sz w:val="14"/>
                <w:szCs w:val="14"/>
              </w:rPr>
              <w:t xml:space="preserve">Name / date</w:t>
            </w:r>
          </w:p>
        </w:tc>
      </w:tr>
    </w:tbl>
    <w:p>
      <w:r>
        <w:br w:type="page"/>
      </w:r>
    </w:p>
    <w:p>
      <w:pPr>
        <w:spacing w:after="20" w:before="0"/>
      </w:pPr>
      <w:r>
        <w:rPr>
          <w:rFonts w:ascii="Arial" w:cs="Arial" w:eastAsia="Arial" w:hAnsi="Arial"/>
          <w:b/>
          <w:bCs/>
          <w:color w:val="F15B37"/>
          <w:sz w:val="16"/>
          <w:szCs w:val="16"/>
        </w:rPr>
        <w:t xml:space="preserve">HOW TO FILL IT IN</w:t>
      </w:r>
    </w:p>
    <w:p>
      <w:pPr>
        <w:spacing w:after="120" w:before="0"/>
      </w:pPr>
      <w:r>
        <w:rPr>
          <w:rFonts w:ascii="Arial" w:cs="Arial" w:eastAsia="Arial" w:hAnsi="Arial"/>
          <w:b/>
          <w:bCs/>
          <w:color w:val="042A2B"/>
          <w:sz w:val="26"/>
          <w:szCs w:val="26"/>
        </w:rPr>
        <w:t xml:space="preserve">Notes for each section</w:t>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400"/>
        <w:gridCol w:w="8066"/>
      </w:tblGrid>
      <w:tr>
        <w:tc>
          <w:tcPr>
            <w:tcW w:type="dxa" w:w="2400"/>
            <w:tcBorders>
              <w:top w:val="single" w:color="B9C7BF" w:sz="4"/>
              <w:left w:val="single" w:color="B9C7BF" w:sz="4"/>
              <w:bottom w:val="single" w:color="B9C7BF" w:sz="4"/>
              <w:right w:val="single" w:color="B9C7BF" w:sz="4"/>
            </w:tcBorders>
            <w:shd w:fill="FBF8F1" w:color="auto" w:val="clear"/>
            <w:tcMar>
              <w:top w:type="dxa" w:w="50"/>
              <w:left w:type="dxa" w:w="90"/>
              <w:bottom w:type="dxa" w:w="50"/>
              <w:right w:type="dxa" w:w="90"/>
            </w:tcMar>
          </w:tcPr>
          <w:p>
            <w:pPr>
              <w:spacing w:after="40" w:before="0"/>
            </w:pPr>
            <w:r>
              <w:rPr>
                <w:rFonts w:ascii="Arial" w:cs="Arial" w:eastAsia="Arial" w:hAnsi="Arial"/>
                <w:b/>
                <w:bCs/>
                <w:color w:val="042A2B"/>
                <w:sz w:val="17"/>
                <w:szCs w:val="17"/>
              </w:rPr>
              <w:t xml:space="preserve">1. Recommendation</w:t>
            </w:r>
          </w:p>
        </w:tc>
        <w:tc>
          <w:tcPr>
            <w:tcW w:type="dxa" w:w="8066"/>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color w:val="042A2B"/>
                <w:sz w:val="17"/>
                <w:szCs w:val="17"/>
              </w:rPr>
              <w:t xml:space="preserve">Write this last, and put it first. One sentence: what, for whom, cost, funding source and the date you need a decision. Executives read this box and decide whether to read the rest.</w:t>
            </w:r>
          </w:p>
        </w:tc>
      </w:tr>
      <w:tr>
        <w:tc>
          <w:tcPr>
            <w:tcW w:type="dxa" w:w="2400"/>
            <w:tcBorders>
              <w:top w:val="single" w:color="B9C7BF" w:sz="4"/>
              <w:left w:val="single" w:color="B9C7BF" w:sz="4"/>
              <w:bottom w:val="single" w:color="B9C7BF" w:sz="4"/>
              <w:right w:val="single" w:color="B9C7BF" w:sz="4"/>
            </w:tcBorders>
            <w:shd w:fill="FBF8F1" w:color="auto" w:val="clear"/>
            <w:tcMar>
              <w:top w:type="dxa" w:w="50"/>
              <w:left w:type="dxa" w:w="90"/>
              <w:bottom w:type="dxa" w:w="50"/>
              <w:right w:type="dxa" w:w="90"/>
            </w:tcMar>
          </w:tcPr>
          <w:p>
            <w:pPr>
              <w:spacing w:after="40" w:before="0"/>
            </w:pPr>
            <w:r>
              <w:rPr>
                <w:rFonts w:ascii="Arial" w:cs="Arial" w:eastAsia="Arial" w:hAnsi="Arial"/>
                <w:b/>
                <w:bCs/>
                <w:color w:val="042A2B"/>
                <w:sz w:val="17"/>
                <w:szCs w:val="17"/>
              </w:rPr>
              <w:t xml:space="preserve">2. Duty and numbers</w:t>
            </w:r>
          </w:p>
        </w:tc>
        <w:tc>
          <w:tcPr>
            <w:tcW w:type="dxa" w:w="8066"/>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color w:val="042A2B"/>
                <w:sz w:val="17"/>
                <w:szCs w:val="17"/>
              </w:rPr>
              <w:t xml:space="preserve">Start from the values case: staff have a right to a safe workplace and the organisation has the duty to provide one. Then use your own figures. Published network costs are in the open data at xantha.com.au/resources/business-case/data. Say plainly that claims understate the problem: most violence-related absence goes on personal leave.</w:t>
            </w:r>
          </w:p>
        </w:tc>
      </w:tr>
      <w:tr>
        <w:tc>
          <w:tcPr>
            <w:tcW w:type="dxa" w:w="2400"/>
            <w:tcBorders>
              <w:top w:val="single" w:color="B9C7BF" w:sz="4"/>
              <w:left w:val="single" w:color="B9C7BF" w:sz="4"/>
              <w:bottom w:val="single" w:color="B9C7BF" w:sz="4"/>
              <w:right w:val="single" w:color="B9C7BF" w:sz="4"/>
            </w:tcBorders>
            <w:shd w:fill="FBF8F1" w:color="auto" w:val="clear"/>
            <w:tcMar>
              <w:top w:type="dxa" w:w="50"/>
              <w:left w:type="dxa" w:w="90"/>
              <w:bottom w:type="dxa" w:w="50"/>
              <w:right w:type="dxa" w:w="90"/>
            </w:tcMar>
          </w:tcPr>
          <w:p>
            <w:pPr>
              <w:spacing w:after="40" w:before="0"/>
            </w:pPr>
            <w:r>
              <w:rPr>
                <w:rFonts w:ascii="Arial" w:cs="Arial" w:eastAsia="Arial" w:hAnsi="Arial"/>
                <w:b/>
                <w:bCs/>
                <w:color w:val="042A2B"/>
                <w:sz w:val="17"/>
                <w:szCs w:val="17"/>
              </w:rPr>
              <w:t xml:space="preserve">3. Five arguments</w:t>
            </w:r>
          </w:p>
        </w:tc>
        <w:tc>
          <w:tcPr>
            <w:tcW w:type="dxa" w:w="8066"/>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color w:val="042A2B"/>
                <w:sz w:val="17"/>
                <w:szCs w:val="17"/>
              </w:rPr>
              <w:t xml:space="preserve">Each persuades a different person: cost (CFO), workforce (Director of Nursing, HR), compliance (WHS, board risk), hidden risk (executive, counsel) and clinical evidence (quality, medical). Keep each to two lines here and put detail in an attachment.</w:t>
            </w:r>
          </w:p>
        </w:tc>
      </w:tr>
      <w:tr>
        <w:tc>
          <w:tcPr>
            <w:tcW w:type="dxa" w:w="2400"/>
            <w:tcBorders>
              <w:top w:val="single" w:color="B9C7BF" w:sz="4"/>
              <w:left w:val="single" w:color="B9C7BF" w:sz="4"/>
              <w:bottom w:val="single" w:color="B9C7BF" w:sz="4"/>
              <w:right w:val="single" w:color="B9C7BF" w:sz="4"/>
            </w:tcBorders>
            <w:shd w:fill="FBF8F1" w:color="auto" w:val="clear"/>
            <w:tcMar>
              <w:top w:type="dxa" w:w="50"/>
              <w:left w:type="dxa" w:w="90"/>
              <w:bottom w:type="dxa" w:w="50"/>
              <w:right w:type="dxa" w:w="90"/>
            </w:tcMar>
          </w:tcPr>
          <w:p>
            <w:pPr>
              <w:spacing w:after="40" w:before="0"/>
            </w:pPr>
            <w:r>
              <w:rPr>
                <w:rFonts w:ascii="Arial" w:cs="Arial" w:eastAsia="Arial" w:hAnsi="Arial"/>
                <w:b/>
                <w:bCs/>
                <w:color w:val="042A2B"/>
                <w:sz w:val="17"/>
                <w:szCs w:val="17"/>
              </w:rPr>
              <w:t xml:space="preserve">What not to claim</w:t>
            </w:r>
          </w:p>
        </w:tc>
        <w:tc>
          <w:tcPr>
            <w:tcW w:type="dxa" w:w="8066"/>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color w:val="042A2B"/>
                <w:sz w:val="17"/>
                <w:szCs w:val="17"/>
              </w:rPr>
              <w:t xml:space="preserve">Safewards reduces conflict and containment, and restraint is where staff get hurt. Do not claim that Safewards alone has been proven to cut workers’ compensation claims, or that it has a proven return on investment. No study has measured either. That is why section 5 matters.</w:t>
            </w:r>
          </w:p>
        </w:tc>
      </w:tr>
      <w:tr>
        <w:tc>
          <w:tcPr>
            <w:tcW w:type="dxa" w:w="2400"/>
            <w:tcBorders>
              <w:top w:val="single" w:color="B9C7BF" w:sz="4"/>
              <w:left w:val="single" w:color="B9C7BF" w:sz="4"/>
              <w:bottom w:val="single" w:color="B9C7BF" w:sz="4"/>
              <w:right w:val="single" w:color="B9C7BF" w:sz="4"/>
            </w:tcBorders>
            <w:shd w:fill="FBF8F1" w:color="auto" w:val="clear"/>
            <w:tcMar>
              <w:top w:type="dxa" w:w="50"/>
              <w:left w:type="dxa" w:w="90"/>
              <w:bottom w:type="dxa" w:w="50"/>
              <w:right w:type="dxa" w:w="90"/>
            </w:tcMar>
          </w:tcPr>
          <w:p>
            <w:pPr>
              <w:spacing w:after="40" w:before="0"/>
            </w:pPr>
            <w:r>
              <w:rPr>
                <w:rFonts w:ascii="Arial" w:cs="Arial" w:eastAsia="Arial" w:hAnsi="Arial"/>
                <w:b/>
                <w:bCs/>
                <w:color w:val="042A2B"/>
                <w:sz w:val="17"/>
                <w:szCs w:val="17"/>
              </w:rPr>
              <w:t xml:space="preserve">4. Options</w:t>
            </w:r>
          </w:p>
        </w:tc>
        <w:tc>
          <w:tcPr>
            <w:tcW w:type="dxa" w:w="8066"/>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color w:val="042A2B"/>
                <w:sz w:val="17"/>
                <w:szCs w:val="17"/>
              </w:rPr>
              <w:t xml:space="preserve">Every state treasury framework compares options against doing nothing. Put the cost of doing nothing in numbers. A pilot on one or two units, with a decision point, is often the easiest yes.</w:t>
            </w:r>
          </w:p>
        </w:tc>
      </w:tr>
      <w:tr>
        <w:tc>
          <w:tcPr>
            <w:tcW w:type="dxa" w:w="2400"/>
            <w:tcBorders>
              <w:top w:val="single" w:color="B9C7BF" w:sz="4"/>
              <w:left w:val="single" w:color="B9C7BF" w:sz="4"/>
              <w:bottom w:val="single" w:color="B9C7BF" w:sz="4"/>
              <w:right w:val="single" w:color="B9C7BF" w:sz="4"/>
            </w:tcBorders>
            <w:shd w:fill="FBF8F1" w:color="auto" w:val="clear"/>
            <w:tcMar>
              <w:top w:type="dxa" w:w="50"/>
              <w:left w:type="dxa" w:w="90"/>
              <w:bottom w:type="dxa" w:w="50"/>
              <w:right w:type="dxa" w:w="90"/>
            </w:tcMar>
          </w:tcPr>
          <w:p>
            <w:pPr>
              <w:spacing w:after="40" w:before="0"/>
            </w:pPr>
            <w:r>
              <w:rPr>
                <w:rFonts w:ascii="Arial" w:cs="Arial" w:eastAsia="Arial" w:hAnsi="Arial"/>
                <w:b/>
                <w:bCs/>
                <w:color w:val="042A2B"/>
                <w:sz w:val="17"/>
                <w:szCs w:val="17"/>
              </w:rPr>
              <w:t xml:space="preserve">5. Measurement</w:t>
            </w:r>
          </w:p>
        </w:tc>
        <w:tc>
          <w:tcPr>
            <w:tcW w:type="dxa" w:w="8066"/>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color w:val="042A2B"/>
                <w:sz w:val="17"/>
                <w:szCs w:val="17"/>
              </w:rPr>
              <w:t xml:space="preserve">Use measures you already collect, name an owner, and report to the same committee every quarter. Measurement is what keeps a program funded when leaders change.</w:t>
            </w:r>
          </w:p>
        </w:tc>
      </w:tr>
      <w:tr>
        <w:tc>
          <w:tcPr>
            <w:tcW w:type="dxa" w:w="2400"/>
            <w:tcBorders>
              <w:top w:val="single" w:color="B9C7BF" w:sz="4"/>
              <w:left w:val="single" w:color="B9C7BF" w:sz="4"/>
              <w:bottom w:val="single" w:color="B9C7BF" w:sz="4"/>
              <w:right w:val="single" w:color="B9C7BF" w:sz="4"/>
            </w:tcBorders>
            <w:shd w:fill="FBF8F1" w:color="auto" w:val="clear"/>
            <w:tcMar>
              <w:top w:type="dxa" w:w="50"/>
              <w:left w:type="dxa" w:w="90"/>
              <w:bottom w:type="dxa" w:w="50"/>
              <w:right w:type="dxa" w:w="90"/>
            </w:tcMar>
          </w:tcPr>
          <w:p>
            <w:pPr>
              <w:spacing w:after="40" w:before="0"/>
            </w:pPr>
            <w:r>
              <w:rPr>
                <w:rFonts w:ascii="Arial" w:cs="Arial" w:eastAsia="Arial" w:hAnsi="Arial"/>
                <w:b/>
                <w:bCs/>
                <w:color w:val="042A2B"/>
                <w:sz w:val="17"/>
                <w:szCs w:val="17"/>
              </w:rPr>
              <w:t xml:space="preserve">6. Funding and sign-off</w:t>
            </w:r>
          </w:p>
        </w:tc>
        <w:tc>
          <w:tcPr>
            <w:tcW w:type="dxa" w:w="8066"/>
            <w:tcBorders>
              <w:top w:val="single" w:color="B9C7BF" w:sz="4"/>
              <w:left w:val="single" w:color="B9C7BF" w:sz="4"/>
              <w:bottom w:val="single" w:color="B9C7BF" w:sz="4"/>
              <w:right w:val="single" w:color="B9C7BF" w:sz="4"/>
            </w:tcBorders>
            <w:tcMar>
              <w:top w:type="dxa" w:w="50"/>
              <w:left w:type="dxa" w:w="90"/>
              <w:bottom w:type="dxa" w:w="50"/>
              <w:right w:type="dxa" w:w="90"/>
            </w:tcMar>
          </w:tcPr>
          <w:p>
            <w:pPr>
              <w:spacing w:after="40" w:before="0"/>
            </w:pPr>
            <w:r>
              <w:rPr>
                <w:rFonts w:ascii="Arial" w:cs="Arial" w:eastAsia="Arial" w:hAnsi="Arial"/>
                <w:color w:val="042A2B"/>
                <w:sz w:val="17"/>
                <w:szCs w:val="17"/>
              </w:rPr>
              <w:t xml:space="preserve">Name the budget or fund, and frame the request in its terms: psychosocial hazard control for WorkSafe grants, nurse-led innovation for nursing funds, fewer claims for the CFO. See xantha.com.au/resources/business-case/funding for the routes in each state.</w:t>
            </w:r>
          </w:p>
        </w:tc>
      </w:tr>
    </w:tbl>
    <w:p>
      <w:pPr>
        <w:spacing w:after="120" w:before="0"/>
      </w:pPr>
      <w:r>
        <w:rPr>
          <w:rFonts w:ascii="Arial" w:cs="Arial" w:eastAsia="Arial" w:hAnsi="Arial"/>
          <w:color w:val="042A2B"/>
          <w:sz w:val="17"/>
          <w:szCs w:val="17"/>
        </w:rPr>
        <w:t xml:space="preserve"/>
      </w:r>
    </w:p>
    <w:p>
      <w:pPr>
        <w:spacing w:after="40" w:before="0"/>
      </w:pPr>
      <w:r>
        <w:rPr>
          <w:rFonts w:ascii="Arial" w:cs="Arial" w:eastAsia="Arial" w:hAnsi="Arial"/>
          <w:color w:val="042A2B"/>
          <w:sz w:val="17"/>
          <w:szCs w:val="17"/>
        </w:rPr>
        <w:t xml:space="preserve">The full guide, with the evidence, the state-by-state figures and the funding routes: </w:t>
      </w:r>
      <w:r>
        <w:rPr>
          <w:rFonts w:ascii="Arial" w:cs="Arial" w:eastAsia="Arial" w:hAnsi="Arial"/>
          <w:b/>
          <w:bCs/>
          <w:color w:val="285246"/>
          <w:sz w:val="17"/>
          <w:szCs w:val="17"/>
        </w:rPr>
        <w:t xml:space="preserve">xantha.com.au/resources/business-case</w:t>
      </w:r>
    </w:p>
    <w:p>
      <w:pPr>
        <w:spacing w:after="40" w:before="60"/>
      </w:pPr>
      <w:r>
        <w:rPr>
          <w:rFonts w:ascii="Arial" w:cs="Arial" w:eastAsia="Arial" w:hAnsi="Arial"/>
          <w:i/>
          <w:iCs/>
          <w:color w:val="4F625B"/>
          <w:sz w:val="15"/>
          <w:szCs w:val="15"/>
        </w:rPr>
        <w:t xml:space="preserve">This template is free to use and adapt. It is general guidance, not financial or legal advice.</w:t>
      </w:r>
    </w:p>
    <w:sectPr>
      <w:footerReference w:type="default" r:id="rId6"/>
      <w:pgSz w:w="11906" w:h="16838" w:orient="portrait"/>
      <w:pgMar w:top="620" w:right="720" w:bottom="620" w:left="720"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spacing w:after="40" w:before="0"/>
      <w:jc w:val="left"/>
    </w:pPr>
    <w:r>
      <w:rPr>
        <w:rFonts w:ascii="Arial" w:cs="Arial" w:eastAsia="Arial" w:hAnsi="Arial"/>
        <w:color w:val="4F625B"/>
        <w:sz w:val="14"/>
        <w:szCs w:val="14"/>
      </w:rPr>
      <w:t xml:space="preserve">Template from xantha.com.au/resources/business-case · Making the case for violence prevention training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17"/>
        <w:szCs w:val="17"/>
      </w:rPr>
    </w:rPrDefault>
    <w:pPrDefault/>
  </w:docDefaults>
  <w:style w:type="paragraph" w:styleId="Normal" w:default="1">
    <w:name w:val="Normal"/>
    <w:qFormat/>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One-page business case: occupational violence prevention training</dc:title>
  <dc:creator>Xantha</dc:creator>
  <dc:description>Template from xantha.com.au/resources/business-case</dc:description>
  <cp:lastModifiedBy>Un-named</cp:lastModifiedBy>
  <cp:revision>1</cp:revision>
  <dcterms:created xsi:type="dcterms:W3CDTF">2026-11-06T08:52:07.333Z</dcterms:created>
  <dcterms:modified xsi:type="dcterms:W3CDTF">2026-11-06T08:52:07.351Z</dcterms:modified>
</cp:coreProperties>
</file>

<file path=docProps/custom.xml><?xml version="1.0" encoding="utf-8"?>
<Properties xmlns="http://schemas.openxmlformats.org/officeDocument/2006/custom-properties" xmlns:vt="http://schemas.openxmlformats.org/officeDocument/2006/docPropsVTypes"/>
</file>